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200"/>
        <w:jc w:val="center"/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  <w:t>国际、国内贸易专业</w:t>
      </w: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  <w:lang w:val="en-US" w:eastAsia="zh-CN"/>
        </w:rPr>
        <w:t>仲裁员</w:t>
      </w: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  <w:t>（共230名）</w:t>
      </w:r>
    </w:p>
    <w:p>
      <w:pPr>
        <w:spacing w:line="0" w:lineRule="atLeast"/>
        <w:ind w:firstLine="720" w:firstLineChars="200"/>
        <w:jc w:val="center"/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1、高等院校仲裁员（8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刁伟民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国内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贸易、航空运输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  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马登科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王水云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国内贸易、互联网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王杏飞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王勤劳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韦  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邓瑞平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国内贸易、国际投资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卢荣荣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叶  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包冰峰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冯子轩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冯彦君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  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刘有东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刘哲玮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刘敬东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研究室主任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国际经济法、国际商法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刘智慧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刘想树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池漫郊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  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  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杜  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李兆玉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李祖军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李晓秋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李喜燕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杨和义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院长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杨建学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杨春平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吴春燕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吴雪燕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沈四宝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国内贸易、公司、国际贸易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宋  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张礼洪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张建文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张春良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张晓君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陈咏梅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林少伟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罗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岳彩申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周勇兵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於向平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胡德胜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侯  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凃咏松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洪海林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秦  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秦  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贾焕银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  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徐以祥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徐银波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  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郭平宜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唐绍均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  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  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盛学军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寇  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编审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  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曾兴华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谭宗泽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滕亚为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薛  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2、专职律师仲裁员（8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6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王天强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王玉法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王灿明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王维嘉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  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石正华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宁书洪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师  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吕永涛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  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任志刚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刘亚军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刘建增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刘战尧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江  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许笑鞅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苏晓凌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国际国内贸易、房地产、知识产权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李仰德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李德江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杨瑜琳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肖  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  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吴晓荣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邱  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国际国内贸易、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金融证券、跨境投资并购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邱光耀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  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何映月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余  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邹晓黎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汪  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汪  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沈仁刚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沈向明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宋卫东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张云霁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张凤海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张兴安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张丽霞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张俊江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张振安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国内贸易、海商法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陈友坤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陈思强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林  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林正伟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  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周小山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周红升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周和建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郝小杰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饶晓敏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晏  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郭方毅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郭振杰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陶云刚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陶修明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公司、金融证券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黄先忠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黄学军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曹丽军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章朝晖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国内贸易、国际商事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彭先斌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董俊中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董绪公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  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  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韩龙涛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韩德云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际国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内贸易、房地产、金融证券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  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  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鲍海珠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蔡运明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蔡昌鑫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熊坤云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熊彦昆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霍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3、企业及行业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组织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仲裁员（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18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马建国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法律顾问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  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向  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刘宇凯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国际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刘春宝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刘晓婷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孙彦臣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孙策兵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高级政工师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杨晓菲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余  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陈旭红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范  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范铭超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周艺梅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国内贸易、建筑工程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倪  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  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股权转让、公司并购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bookmarkEnd w:id="0"/>
    </w:tbl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4、机关事业单位仲裁员（2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tabs>
                <w:tab w:val="left" w:pos="4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方雁林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江传华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杨佳红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杨建明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吴钰鸿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 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陆志平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陈扬超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陈华君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海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陈秋香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金俊银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周佳林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钟创新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姚  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  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徐继华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唐云峰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  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曹廷中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梁应霞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廖春波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5、退休法官仲裁员（2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1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王大荣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国际贸易、海商海事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王元成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王必伟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王昆明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孔  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吴爱平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余贤军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张梅林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陈绍惠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林宪民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罗登文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郑  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胡  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四级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钟  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秦湛毅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  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谢  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谭承明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黎安泽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戴  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>
      <w:pPr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866FE"/>
    <w:multiLevelType w:val="multilevel"/>
    <w:tmpl w:val="15B866F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F62774"/>
    <w:multiLevelType w:val="multilevel"/>
    <w:tmpl w:val="20F6277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507F40"/>
    <w:multiLevelType w:val="multilevel"/>
    <w:tmpl w:val="2A507F4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221A1C"/>
    <w:multiLevelType w:val="multilevel"/>
    <w:tmpl w:val="3C221A1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5E0D"/>
    <w:rsid w:val="299C3B55"/>
    <w:rsid w:val="2EBD225E"/>
    <w:rsid w:val="353244FF"/>
    <w:rsid w:val="50F041C0"/>
    <w:rsid w:val="5D3B05D9"/>
    <w:rsid w:val="6E66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2021-06-30T08:19:00Z</dcterms:created>
  <dc:creator>HP</dc:creator>
  <cp:lastModifiedBy>HP</cp:lastModifiedBy>
  <dcterms:modified xsi:type="dcterms:W3CDTF">2021-06-30T08:32:02Z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E7EF86ABE367433DAAE88731ED47C875</vt:lpwstr>
  </property>
</Properties>
</file>